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459E0" w14:textId="77777777" w:rsidR="00337CA9" w:rsidRPr="001D22F6" w:rsidRDefault="00337CA9" w:rsidP="00337CA9">
      <w:pPr>
        <w:jc w:val="center"/>
        <w:rPr>
          <w:b/>
        </w:rPr>
      </w:pPr>
      <w:r w:rsidRPr="001D22F6">
        <w:rPr>
          <w:b/>
        </w:rPr>
        <w:t>UNITED STATES DEPARTMENT OF JUSTICE</w:t>
      </w:r>
    </w:p>
    <w:p w14:paraId="34F88CF7" w14:textId="77777777" w:rsidR="00337CA9" w:rsidRPr="001D22F6" w:rsidRDefault="00337CA9" w:rsidP="00337CA9">
      <w:pPr>
        <w:jc w:val="center"/>
        <w:rPr>
          <w:b/>
        </w:rPr>
      </w:pPr>
      <w:r w:rsidRPr="001D22F6">
        <w:rPr>
          <w:b/>
        </w:rPr>
        <w:t>EXECUTIVE OFFICE FOR IMMIGRATION REVIEW</w:t>
      </w:r>
    </w:p>
    <w:p w14:paraId="3E44A81D" w14:textId="77777777" w:rsidR="00337CA9" w:rsidRPr="001D22F6" w:rsidRDefault="00337CA9" w:rsidP="00337CA9">
      <w:pPr>
        <w:jc w:val="center"/>
        <w:rPr>
          <w:b/>
        </w:rPr>
      </w:pPr>
      <w:commentRangeStart w:id="0"/>
      <w:r w:rsidRPr="001D22F6">
        <w:rPr>
          <w:b/>
        </w:rPr>
        <w:t>HOUSTON IMMIGRATION COURT</w:t>
      </w:r>
    </w:p>
    <w:p w14:paraId="6AF225D7" w14:textId="77777777" w:rsidR="00337CA9" w:rsidRPr="0026189C" w:rsidRDefault="00337CA9" w:rsidP="00337CA9">
      <w:pPr>
        <w:contextualSpacing/>
        <w:jc w:val="center"/>
        <w:rPr>
          <w:b/>
        </w:rPr>
      </w:pPr>
      <w:r w:rsidRPr="001D22F6">
        <w:rPr>
          <w:b/>
        </w:rPr>
        <w:t>HOUSTON, TEXAS</w:t>
      </w:r>
      <w:commentRangeEnd w:id="0"/>
      <w:r>
        <w:rPr>
          <w:rStyle w:val="CommentReference"/>
        </w:rPr>
        <w:commentReference w:id="0"/>
      </w:r>
    </w:p>
    <w:p w14:paraId="66A2A9FB" w14:textId="77777777" w:rsidR="00337CA9" w:rsidRPr="0026189C" w:rsidRDefault="00337CA9" w:rsidP="00337CA9">
      <w:pPr>
        <w:rPr>
          <w:b/>
        </w:rPr>
      </w:pPr>
      <w:r w:rsidRPr="0026189C">
        <w:rPr>
          <w:b/>
        </w:rPr>
        <w:t>__________________________________________</w:t>
      </w:r>
    </w:p>
    <w:p w14:paraId="095FEC36" w14:textId="77777777" w:rsidR="00337CA9" w:rsidRPr="0026189C" w:rsidRDefault="00337CA9" w:rsidP="00337CA9">
      <w:pPr>
        <w:rPr>
          <w:b/>
          <w:bCs/>
        </w:rPr>
      </w:pPr>
      <w:r w:rsidRPr="0026189C">
        <w:tab/>
      </w:r>
      <w:r w:rsidRPr="0026189C">
        <w:tab/>
      </w:r>
      <w:r w:rsidRPr="0026189C">
        <w:tab/>
      </w:r>
      <w:r w:rsidRPr="0026189C">
        <w:tab/>
      </w:r>
      <w:r w:rsidRPr="0026189C">
        <w:tab/>
      </w:r>
      <w:r w:rsidRPr="0026189C">
        <w:tab/>
      </w:r>
      <w:r w:rsidRPr="0026189C">
        <w:tab/>
        <w:t>)</w:t>
      </w:r>
    </w:p>
    <w:p w14:paraId="3FF587EB" w14:textId="77777777" w:rsidR="00337CA9" w:rsidRPr="0026189C" w:rsidRDefault="00337CA9" w:rsidP="00337CA9">
      <w:pPr>
        <w:autoSpaceDE w:val="0"/>
        <w:autoSpaceDN w:val="0"/>
        <w:adjustRightInd w:val="0"/>
        <w:rPr>
          <w:rFonts w:eastAsia="Aptos"/>
        </w:rPr>
      </w:pPr>
      <w:r w:rsidRPr="0026189C">
        <w:rPr>
          <w:rFonts w:eastAsia="Aptos"/>
        </w:rPr>
        <w:t xml:space="preserve">In the Matter of: </w:t>
      </w:r>
      <w:r w:rsidRPr="0026189C">
        <w:rPr>
          <w:rFonts w:eastAsia="Aptos"/>
        </w:rPr>
        <w:tab/>
      </w:r>
      <w:r w:rsidRPr="0026189C">
        <w:rPr>
          <w:rFonts w:eastAsia="Aptos"/>
        </w:rPr>
        <w:tab/>
      </w:r>
      <w:r w:rsidRPr="0026189C">
        <w:rPr>
          <w:rFonts w:eastAsia="Aptos"/>
        </w:rPr>
        <w:tab/>
      </w:r>
      <w:r w:rsidRPr="0026189C">
        <w:rPr>
          <w:rFonts w:eastAsia="Aptos"/>
        </w:rPr>
        <w:tab/>
      </w:r>
      <w:r w:rsidRPr="0026189C">
        <w:rPr>
          <w:rFonts w:eastAsia="Aptos"/>
        </w:rPr>
        <w:tab/>
        <w:t>)</w:t>
      </w:r>
    </w:p>
    <w:p w14:paraId="496C13F8" w14:textId="77777777" w:rsidR="00337CA9" w:rsidRPr="0026189C" w:rsidRDefault="00337CA9" w:rsidP="00337CA9">
      <w:pPr>
        <w:autoSpaceDE w:val="0"/>
        <w:autoSpaceDN w:val="0"/>
        <w:adjustRightInd w:val="0"/>
        <w:ind w:left="4320" w:firstLine="720"/>
        <w:rPr>
          <w:rFonts w:eastAsia="Aptos"/>
        </w:rPr>
      </w:pPr>
      <w:r w:rsidRPr="0026189C">
        <w:rPr>
          <w:rFonts w:eastAsia="Aptos"/>
        </w:rPr>
        <w:t>)</w:t>
      </w:r>
    </w:p>
    <w:p w14:paraId="5246E384" w14:textId="3CB58374" w:rsidR="00337CA9" w:rsidRPr="0026189C" w:rsidRDefault="00337CA9" w:rsidP="00337CA9">
      <w:pPr>
        <w:autoSpaceDE w:val="0"/>
        <w:autoSpaceDN w:val="0"/>
        <w:adjustRightInd w:val="0"/>
        <w:rPr>
          <w:rFonts w:eastAsia="Aptos"/>
        </w:rPr>
      </w:pPr>
      <w:r>
        <w:rPr>
          <w:bCs/>
        </w:rPr>
        <w:t>RESPONDENT NAME</w:t>
      </w:r>
      <w:proofErr w:type="gramStart"/>
      <w:r>
        <w:rPr>
          <w:bCs/>
        </w:rPr>
        <w:t xml:space="preserve"> </w:t>
      </w:r>
      <w:r>
        <w:rPr>
          <w:bCs/>
        </w:rPr>
        <w:tab/>
      </w:r>
      <w:r>
        <w:rPr>
          <w:bCs/>
        </w:rPr>
        <w:tab/>
      </w:r>
      <w:r w:rsidRPr="0026189C">
        <w:rPr>
          <w:rFonts w:eastAsia="Aptos"/>
        </w:rPr>
        <w:tab/>
      </w:r>
      <w:r w:rsidRPr="0026189C">
        <w:rPr>
          <w:rFonts w:eastAsia="Aptos"/>
        </w:rPr>
        <w:tab/>
        <w:t>)</w:t>
      </w:r>
      <w:r w:rsidRPr="0026189C">
        <w:rPr>
          <w:rFonts w:eastAsia="Aptos"/>
        </w:rPr>
        <w:tab/>
      </w:r>
      <w:r>
        <w:rPr>
          <w:rFonts w:eastAsia="Aptos"/>
        </w:rPr>
        <w:tab/>
      </w:r>
      <w:r w:rsidRPr="004E28B0">
        <w:rPr>
          <w:rFonts w:eastAsia="Aptos"/>
        </w:rPr>
        <w:t>A#</w:t>
      </w:r>
      <w:proofErr w:type="gramEnd"/>
      <w:r>
        <w:rPr>
          <w:rFonts w:eastAsia="Aptos"/>
        </w:rPr>
        <w:t>:</w:t>
      </w:r>
      <w:r w:rsidRPr="001D22F6">
        <w:rPr>
          <w:rFonts w:eastAsia="Aptos"/>
        </w:rPr>
        <w:t xml:space="preserve"> </w:t>
      </w:r>
      <w:r>
        <w:rPr>
          <w:rFonts w:eastAsia="Aptos"/>
        </w:rPr>
        <w:t>A Number</w:t>
      </w:r>
    </w:p>
    <w:p w14:paraId="0493114E" w14:textId="77777777" w:rsidR="00337CA9" w:rsidRPr="0026189C" w:rsidRDefault="00337CA9" w:rsidP="00337CA9">
      <w:pPr>
        <w:autoSpaceDE w:val="0"/>
        <w:autoSpaceDN w:val="0"/>
        <w:adjustRightInd w:val="0"/>
        <w:rPr>
          <w:rFonts w:eastAsia="Aptos"/>
        </w:rPr>
      </w:pPr>
      <w:r w:rsidRPr="0026189C">
        <w:rPr>
          <w:rFonts w:eastAsia="Aptos"/>
        </w:rPr>
        <w:tab/>
      </w:r>
      <w:r w:rsidRPr="0026189C">
        <w:rPr>
          <w:rFonts w:eastAsia="Aptos"/>
        </w:rPr>
        <w:tab/>
      </w:r>
      <w:r w:rsidRPr="0026189C">
        <w:rPr>
          <w:rFonts w:eastAsia="Aptos"/>
        </w:rPr>
        <w:tab/>
      </w:r>
      <w:r w:rsidRPr="0026189C">
        <w:rPr>
          <w:rFonts w:eastAsia="Aptos"/>
        </w:rPr>
        <w:tab/>
      </w:r>
      <w:r w:rsidRPr="0026189C">
        <w:rPr>
          <w:rFonts w:eastAsia="Aptos"/>
        </w:rPr>
        <w:tab/>
      </w:r>
      <w:r w:rsidRPr="0026189C">
        <w:rPr>
          <w:rFonts w:eastAsia="Aptos"/>
        </w:rPr>
        <w:tab/>
      </w:r>
      <w:r w:rsidRPr="0026189C">
        <w:rPr>
          <w:rFonts w:eastAsia="Aptos"/>
        </w:rPr>
        <w:tab/>
        <w:t>)</w:t>
      </w:r>
    </w:p>
    <w:p w14:paraId="190B825A" w14:textId="77777777" w:rsidR="00337CA9" w:rsidRPr="0026189C" w:rsidRDefault="00337CA9" w:rsidP="00337CA9">
      <w:pPr>
        <w:autoSpaceDE w:val="0"/>
        <w:autoSpaceDN w:val="0"/>
        <w:adjustRightInd w:val="0"/>
        <w:rPr>
          <w:rFonts w:eastAsia="Aptos"/>
        </w:rPr>
      </w:pPr>
      <w:r w:rsidRPr="0026189C">
        <w:rPr>
          <w:rFonts w:eastAsia="Aptos"/>
        </w:rPr>
        <w:t xml:space="preserve">Respondent </w:t>
      </w:r>
      <w:r w:rsidRPr="0026189C">
        <w:rPr>
          <w:rFonts w:eastAsia="Aptos"/>
        </w:rPr>
        <w:tab/>
      </w:r>
      <w:r w:rsidRPr="0026189C">
        <w:rPr>
          <w:rFonts w:eastAsia="Aptos"/>
        </w:rPr>
        <w:tab/>
      </w:r>
      <w:r w:rsidRPr="0026189C">
        <w:rPr>
          <w:rFonts w:eastAsia="Aptos"/>
        </w:rPr>
        <w:tab/>
      </w:r>
      <w:r w:rsidRPr="0026189C">
        <w:rPr>
          <w:rFonts w:eastAsia="Aptos"/>
        </w:rPr>
        <w:tab/>
      </w:r>
      <w:r w:rsidRPr="0026189C">
        <w:rPr>
          <w:rFonts w:eastAsia="Aptos"/>
        </w:rPr>
        <w:tab/>
      </w:r>
      <w:r w:rsidRPr="0026189C">
        <w:rPr>
          <w:rFonts w:eastAsia="Aptos"/>
        </w:rPr>
        <w:tab/>
        <w:t>)</w:t>
      </w:r>
    </w:p>
    <w:p w14:paraId="69948631" w14:textId="77777777" w:rsidR="00337CA9" w:rsidRPr="0026189C" w:rsidRDefault="00337CA9" w:rsidP="00337CA9">
      <w:pPr>
        <w:autoSpaceDE w:val="0"/>
        <w:autoSpaceDN w:val="0"/>
        <w:adjustRightInd w:val="0"/>
        <w:ind w:left="4320" w:firstLine="720"/>
        <w:rPr>
          <w:rFonts w:eastAsia="Aptos"/>
        </w:rPr>
      </w:pPr>
      <w:r w:rsidRPr="0026189C">
        <w:rPr>
          <w:rFonts w:eastAsia="Aptos"/>
        </w:rPr>
        <w:t>)</w:t>
      </w:r>
    </w:p>
    <w:p w14:paraId="01ECFB4B" w14:textId="77777777" w:rsidR="00337CA9" w:rsidRPr="0026189C" w:rsidRDefault="00337CA9" w:rsidP="00337CA9">
      <w:pPr>
        <w:autoSpaceDE w:val="0"/>
        <w:autoSpaceDN w:val="0"/>
        <w:adjustRightInd w:val="0"/>
        <w:rPr>
          <w:rFonts w:eastAsia="Aptos"/>
        </w:rPr>
      </w:pPr>
      <w:r w:rsidRPr="0026189C">
        <w:rPr>
          <w:rFonts w:eastAsia="Aptos"/>
        </w:rPr>
        <w:t xml:space="preserve">In Removal Proceedings </w:t>
      </w:r>
      <w:r w:rsidRPr="0026189C">
        <w:rPr>
          <w:rFonts w:eastAsia="Aptos"/>
        </w:rPr>
        <w:tab/>
      </w:r>
      <w:r w:rsidRPr="0026189C">
        <w:rPr>
          <w:rFonts w:eastAsia="Aptos"/>
        </w:rPr>
        <w:tab/>
      </w:r>
      <w:r w:rsidRPr="0026189C">
        <w:rPr>
          <w:rFonts w:eastAsia="Aptos"/>
        </w:rPr>
        <w:tab/>
      </w:r>
      <w:r w:rsidRPr="0026189C">
        <w:rPr>
          <w:rFonts w:eastAsia="Aptos"/>
        </w:rPr>
        <w:tab/>
        <w:t>)</w:t>
      </w:r>
    </w:p>
    <w:p w14:paraId="7B711887" w14:textId="77777777" w:rsidR="00337CA9" w:rsidRPr="0026189C" w:rsidRDefault="00337CA9" w:rsidP="00337CA9">
      <w:r w:rsidRPr="0026189C">
        <w:rPr>
          <w:rFonts w:ascii="_∫¬'94" w:eastAsia="Aptos" w:hAnsi="_∫¬'94" w:cs="_∫¬'94"/>
        </w:rPr>
        <w:t>__________________________________________</w:t>
      </w:r>
      <w:r w:rsidRPr="0026189C">
        <w:rPr>
          <w:rFonts w:eastAsia="Aptos"/>
        </w:rPr>
        <w:t>)</w:t>
      </w:r>
    </w:p>
    <w:p w14:paraId="3CC6DA4C" w14:textId="77777777" w:rsidR="00337CA9" w:rsidRDefault="00337CA9" w:rsidP="00337CA9">
      <w:pPr>
        <w:contextualSpacing/>
      </w:pPr>
      <w:r>
        <w:tab/>
      </w:r>
      <w:r>
        <w:tab/>
      </w:r>
      <w:r>
        <w:tab/>
      </w:r>
      <w:r>
        <w:tab/>
      </w:r>
      <w:r>
        <w:tab/>
      </w:r>
      <w:r>
        <w:tab/>
      </w:r>
    </w:p>
    <w:p w14:paraId="3AA31F1D" w14:textId="77777777" w:rsidR="00A245C6" w:rsidRDefault="00A245C6"/>
    <w:p w14:paraId="55A98525" w14:textId="77777777" w:rsidR="00337CA9" w:rsidRDefault="00337CA9"/>
    <w:p w14:paraId="545308AF" w14:textId="65FEA680" w:rsidR="00337CA9" w:rsidRPr="00337CA9" w:rsidRDefault="00337CA9" w:rsidP="00337CA9">
      <w:pPr>
        <w:jc w:val="center"/>
        <w:rPr>
          <w:b/>
          <w:bCs/>
        </w:rPr>
      </w:pPr>
      <w:commentRangeStart w:id="1"/>
      <w:r w:rsidRPr="00337CA9">
        <w:rPr>
          <w:b/>
          <w:bCs/>
        </w:rPr>
        <w:t>TABLE OF CONTENTS</w:t>
      </w:r>
      <w:commentRangeEnd w:id="1"/>
      <w:r w:rsidR="00B055AA">
        <w:rPr>
          <w:rStyle w:val="CommentReference"/>
        </w:rPr>
        <w:commentReference w:id="1"/>
      </w:r>
    </w:p>
    <w:p w14:paraId="295397C9" w14:textId="77777777" w:rsidR="00337CA9" w:rsidRDefault="00337CA9"/>
    <w:tbl>
      <w:tblPr>
        <w:tblStyle w:val="TableGrid"/>
        <w:tblW w:w="0" w:type="auto"/>
        <w:tblLook w:val="04A0" w:firstRow="1" w:lastRow="0" w:firstColumn="1" w:lastColumn="0" w:noHBand="0" w:noVBand="1"/>
      </w:tblPr>
      <w:tblGrid>
        <w:gridCol w:w="1255"/>
        <w:gridCol w:w="6570"/>
        <w:gridCol w:w="1525"/>
      </w:tblGrid>
      <w:tr w:rsidR="00337CA9" w14:paraId="5926F699" w14:textId="77777777" w:rsidTr="00337CA9">
        <w:tc>
          <w:tcPr>
            <w:tcW w:w="1255" w:type="dxa"/>
          </w:tcPr>
          <w:p w14:paraId="6EF50513" w14:textId="230DA0F1" w:rsidR="00337CA9" w:rsidRPr="00337CA9" w:rsidRDefault="00337CA9" w:rsidP="00337CA9">
            <w:pPr>
              <w:jc w:val="center"/>
              <w:rPr>
                <w:b/>
                <w:bCs/>
              </w:rPr>
            </w:pPr>
            <w:commentRangeStart w:id="2"/>
            <w:r w:rsidRPr="00337CA9">
              <w:rPr>
                <w:b/>
                <w:bCs/>
              </w:rPr>
              <w:t>Tab</w:t>
            </w:r>
            <w:commentRangeEnd w:id="2"/>
            <w:r>
              <w:rPr>
                <w:rStyle w:val="CommentReference"/>
              </w:rPr>
              <w:commentReference w:id="2"/>
            </w:r>
          </w:p>
        </w:tc>
        <w:tc>
          <w:tcPr>
            <w:tcW w:w="6570" w:type="dxa"/>
          </w:tcPr>
          <w:p w14:paraId="48D0A4DC" w14:textId="2C1ED78D" w:rsidR="00337CA9" w:rsidRPr="00337CA9" w:rsidRDefault="00337CA9" w:rsidP="00337CA9">
            <w:pPr>
              <w:jc w:val="center"/>
              <w:rPr>
                <w:b/>
                <w:bCs/>
              </w:rPr>
            </w:pPr>
            <w:r w:rsidRPr="00337CA9">
              <w:rPr>
                <w:b/>
                <w:bCs/>
              </w:rPr>
              <w:t>Document</w:t>
            </w:r>
          </w:p>
        </w:tc>
        <w:tc>
          <w:tcPr>
            <w:tcW w:w="1525" w:type="dxa"/>
          </w:tcPr>
          <w:p w14:paraId="0751689D" w14:textId="3C1B6F30" w:rsidR="00337CA9" w:rsidRPr="00337CA9" w:rsidRDefault="00337CA9" w:rsidP="00337CA9">
            <w:pPr>
              <w:jc w:val="center"/>
              <w:rPr>
                <w:b/>
                <w:bCs/>
              </w:rPr>
            </w:pPr>
            <w:commentRangeStart w:id="3"/>
            <w:r w:rsidRPr="00337CA9">
              <w:rPr>
                <w:b/>
                <w:bCs/>
              </w:rPr>
              <w:t>Page</w:t>
            </w:r>
            <w:commentRangeEnd w:id="3"/>
            <w:r>
              <w:rPr>
                <w:rStyle w:val="CommentReference"/>
              </w:rPr>
              <w:commentReference w:id="3"/>
            </w:r>
          </w:p>
        </w:tc>
      </w:tr>
      <w:tr w:rsidR="00337CA9" w14:paraId="57340D61" w14:textId="77777777" w:rsidTr="00337CA9">
        <w:tc>
          <w:tcPr>
            <w:tcW w:w="1255" w:type="dxa"/>
          </w:tcPr>
          <w:p w14:paraId="5FE52C3F" w14:textId="77777777" w:rsidR="00337CA9" w:rsidRDefault="00337CA9"/>
        </w:tc>
        <w:tc>
          <w:tcPr>
            <w:tcW w:w="6570" w:type="dxa"/>
          </w:tcPr>
          <w:p w14:paraId="75DF4932" w14:textId="77777777" w:rsidR="00337CA9" w:rsidRDefault="00337CA9"/>
        </w:tc>
        <w:tc>
          <w:tcPr>
            <w:tcW w:w="1525" w:type="dxa"/>
          </w:tcPr>
          <w:p w14:paraId="1207FAFA" w14:textId="77777777" w:rsidR="00337CA9" w:rsidRDefault="00337CA9"/>
        </w:tc>
      </w:tr>
      <w:tr w:rsidR="00337CA9" w14:paraId="048A26F6" w14:textId="77777777" w:rsidTr="00337CA9">
        <w:tc>
          <w:tcPr>
            <w:tcW w:w="1255" w:type="dxa"/>
          </w:tcPr>
          <w:p w14:paraId="0CD7EE29" w14:textId="7BBF7F2C" w:rsidR="00337CA9" w:rsidRDefault="00337CA9" w:rsidP="00337CA9">
            <w:pPr>
              <w:jc w:val="center"/>
            </w:pPr>
            <w:r>
              <w:t>A</w:t>
            </w:r>
          </w:p>
        </w:tc>
        <w:tc>
          <w:tcPr>
            <w:tcW w:w="6570" w:type="dxa"/>
          </w:tcPr>
          <w:p w14:paraId="52D85E7B" w14:textId="77777777" w:rsidR="00337CA9" w:rsidRDefault="00337CA9"/>
        </w:tc>
        <w:tc>
          <w:tcPr>
            <w:tcW w:w="1525" w:type="dxa"/>
          </w:tcPr>
          <w:p w14:paraId="51AD6861" w14:textId="77777777" w:rsidR="00337CA9" w:rsidRDefault="00337CA9"/>
        </w:tc>
      </w:tr>
      <w:tr w:rsidR="00337CA9" w14:paraId="4C6840BB" w14:textId="77777777" w:rsidTr="00337CA9">
        <w:tc>
          <w:tcPr>
            <w:tcW w:w="1255" w:type="dxa"/>
          </w:tcPr>
          <w:p w14:paraId="4305570D" w14:textId="77777777" w:rsidR="00337CA9" w:rsidRDefault="00337CA9" w:rsidP="00337CA9">
            <w:pPr>
              <w:jc w:val="center"/>
            </w:pPr>
          </w:p>
        </w:tc>
        <w:tc>
          <w:tcPr>
            <w:tcW w:w="6570" w:type="dxa"/>
          </w:tcPr>
          <w:p w14:paraId="3EE96397" w14:textId="77777777" w:rsidR="00337CA9" w:rsidRDefault="00337CA9"/>
        </w:tc>
        <w:tc>
          <w:tcPr>
            <w:tcW w:w="1525" w:type="dxa"/>
          </w:tcPr>
          <w:p w14:paraId="1A9E77D7" w14:textId="77777777" w:rsidR="00337CA9" w:rsidRDefault="00337CA9"/>
        </w:tc>
      </w:tr>
      <w:tr w:rsidR="00337CA9" w14:paraId="0787C258" w14:textId="77777777" w:rsidTr="00337CA9">
        <w:tc>
          <w:tcPr>
            <w:tcW w:w="1255" w:type="dxa"/>
          </w:tcPr>
          <w:p w14:paraId="6BA80B76" w14:textId="7C7EBAE2" w:rsidR="00337CA9" w:rsidRDefault="00337CA9" w:rsidP="00337CA9">
            <w:pPr>
              <w:jc w:val="center"/>
            </w:pPr>
            <w:r>
              <w:t>B</w:t>
            </w:r>
          </w:p>
        </w:tc>
        <w:tc>
          <w:tcPr>
            <w:tcW w:w="6570" w:type="dxa"/>
          </w:tcPr>
          <w:p w14:paraId="28CCA0BC" w14:textId="77777777" w:rsidR="00337CA9" w:rsidRDefault="00337CA9"/>
        </w:tc>
        <w:tc>
          <w:tcPr>
            <w:tcW w:w="1525" w:type="dxa"/>
          </w:tcPr>
          <w:p w14:paraId="4D3F114E" w14:textId="77777777" w:rsidR="00337CA9" w:rsidRDefault="00337CA9"/>
        </w:tc>
      </w:tr>
      <w:tr w:rsidR="00337CA9" w14:paraId="627D4B52" w14:textId="77777777" w:rsidTr="00337CA9">
        <w:tc>
          <w:tcPr>
            <w:tcW w:w="1255" w:type="dxa"/>
          </w:tcPr>
          <w:p w14:paraId="70970F28" w14:textId="77777777" w:rsidR="00337CA9" w:rsidRDefault="00337CA9" w:rsidP="00337CA9">
            <w:pPr>
              <w:jc w:val="center"/>
            </w:pPr>
          </w:p>
        </w:tc>
        <w:tc>
          <w:tcPr>
            <w:tcW w:w="6570" w:type="dxa"/>
          </w:tcPr>
          <w:p w14:paraId="6E2D5A81" w14:textId="77777777" w:rsidR="00337CA9" w:rsidRDefault="00337CA9"/>
        </w:tc>
        <w:tc>
          <w:tcPr>
            <w:tcW w:w="1525" w:type="dxa"/>
          </w:tcPr>
          <w:p w14:paraId="5CF5F322" w14:textId="77777777" w:rsidR="00337CA9" w:rsidRDefault="00337CA9"/>
        </w:tc>
      </w:tr>
      <w:tr w:rsidR="00337CA9" w14:paraId="0B55A7B8" w14:textId="77777777" w:rsidTr="00337CA9">
        <w:tc>
          <w:tcPr>
            <w:tcW w:w="1255" w:type="dxa"/>
          </w:tcPr>
          <w:p w14:paraId="162ACD81" w14:textId="700FEA80" w:rsidR="00337CA9" w:rsidRDefault="00337CA9" w:rsidP="00337CA9">
            <w:pPr>
              <w:jc w:val="center"/>
            </w:pPr>
            <w:r>
              <w:t>C</w:t>
            </w:r>
          </w:p>
        </w:tc>
        <w:tc>
          <w:tcPr>
            <w:tcW w:w="6570" w:type="dxa"/>
          </w:tcPr>
          <w:p w14:paraId="031A9C64" w14:textId="77777777" w:rsidR="00337CA9" w:rsidRDefault="00337CA9"/>
        </w:tc>
        <w:tc>
          <w:tcPr>
            <w:tcW w:w="1525" w:type="dxa"/>
          </w:tcPr>
          <w:p w14:paraId="2EEE6998" w14:textId="77777777" w:rsidR="00337CA9" w:rsidRDefault="00337CA9"/>
        </w:tc>
      </w:tr>
      <w:tr w:rsidR="00337CA9" w14:paraId="28C4CBA9" w14:textId="77777777" w:rsidTr="00337CA9">
        <w:tc>
          <w:tcPr>
            <w:tcW w:w="1255" w:type="dxa"/>
          </w:tcPr>
          <w:p w14:paraId="5A33BD68" w14:textId="77777777" w:rsidR="00337CA9" w:rsidRDefault="00337CA9" w:rsidP="00337CA9">
            <w:pPr>
              <w:jc w:val="center"/>
            </w:pPr>
          </w:p>
        </w:tc>
        <w:tc>
          <w:tcPr>
            <w:tcW w:w="6570" w:type="dxa"/>
          </w:tcPr>
          <w:p w14:paraId="0DF62450" w14:textId="77777777" w:rsidR="00337CA9" w:rsidRDefault="00337CA9"/>
        </w:tc>
        <w:tc>
          <w:tcPr>
            <w:tcW w:w="1525" w:type="dxa"/>
          </w:tcPr>
          <w:p w14:paraId="36DBC942" w14:textId="77777777" w:rsidR="00337CA9" w:rsidRDefault="00337CA9"/>
        </w:tc>
      </w:tr>
      <w:tr w:rsidR="00B055AA" w14:paraId="748ADD3D" w14:textId="77777777" w:rsidTr="00337CA9">
        <w:tc>
          <w:tcPr>
            <w:tcW w:w="1255" w:type="dxa"/>
          </w:tcPr>
          <w:p w14:paraId="16132A6C" w14:textId="77777777" w:rsidR="00B055AA" w:rsidRDefault="00B055AA" w:rsidP="00337CA9">
            <w:pPr>
              <w:jc w:val="center"/>
            </w:pPr>
          </w:p>
        </w:tc>
        <w:tc>
          <w:tcPr>
            <w:tcW w:w="6570" w:type="dxa"/>
          </w:tcPr>
          <w:p w14:paraId="784F2BFA" w14:textId="3803C089" w:rsidR="00B055AA" w:rsidRDefault="00B055AA">
            <w:r>
              <w:t>Proposed Order</w:t>
            </w:r>
          </w:p>
        </w:tc>
        <w:tc>
          <w:tcPr>
            <w:tcW w:w="1525" w:type="dxa"/>
          </w:tcPr>
          <w:p w14:paraId="1056FF3F" w14:textId="77777777" w:rsidR="00B055AA" w:rsidRDefault="00B055AA"/>
        </w:tc>
      </w:tr>
      <w:tr w:rsidR="00B055AA" w14:paraId="3DC419F0" w14:textId="77777777" w:rsidTr="00337CA9">
        <w:tc>
          <w:tcPr>
            <w:tcW w:w="1255" w:type="dxa"/>
          </w:tcPr>
          <w:p w14:paraId="3AC7436D" w14:textId="77777777" w:rsidR="00B055AA" w:rsidRDefault="00B055AA" w:rsidP="00337CA9">
            <w:pPr>
              <w:jc w:val="center"/>
            </w:pPr>
          </w:p>
        </w:tc>
        <w:tc>
          <w:tcPr>
            <w:tcW w:w="6570" w:type="dxa"/>
          </w:tcPr>
          <w:p w14:paraId="0972870A" w14:textId="77777777" w:rsidR="00B055AA" w:rsidRDefault="00B055AA"/>
        </w:tc>
        <w:tc>
          <w:tcPr>
            <w:tcW w:w="1525" w:type="dxa"/>
          </w:tcPr>
          <w:p w14:paraId="09B34754" w14:textId="77777777" w:rsidR="00B055AA" w:rsidRDefault="00B055AA"/>
        </w:tc>
      </w:tr>
      <w:tr w:rsidR="00337CA9" w14:paraId="64EC5C8D" w14:textId="77777777" w:rsidTr="00337CA9">
        <w:tc>
          <w:tcPr>
            <w:tcW w:w="1255" w:type="dxa"/>
          </w:tcPr>
          <w:p w14:paraId="7C1CB7DD" w14:textId="77777777" w:rsidR="00337CA9" w:rsidRDefault="00337CA9" w:rsidP="00337CA9">
            <w:pPr>
              <w:jc w:val="center"/>
            </w:pPr>
          </w:p>
        </w:tc>
        <w:tc>
          <w:tcPr>
            <w:tcW w:w="6570" w:type="dxa"/>
          </w:tcPr>
          <w:p w14:paraId="74C6A373" w14:textId="03F931E4" w:rsidR="00337CA9" w:rsidRDefault="00337CA9">
            <w:commentRangeStart w:id="4"/>
            <w:r>
              <w:t>Proof of Service</w:t>
            </w:r>
            <w:commentRangeEnd w:id="4"/>
            <w:r>
              <w:rPr>
                <w:rStyle w:val="CommentReference"/>
              </w:rPr>
              <w:commentReference w:id="4"/>
            </w:r>
          </w:p>
        </w:tc>
        <w:tc>
          <w:tcPr>
            <w:tcW w:w="1525" w:type="dxa"/>
          </w:tcPr>
          <w:p w14:paraId="037970E3" w14:textId="77777777" w:rsidR="00337CA9" w:rsidRDefault="00337CA9"/>
        </w:tc>
      </w:tr>
    </w:tbl>
    <w:p w14:paraId="27EDE7B0" w14:textId="77777777" w:rsidR="00337CA9" w:rsidRDefault="00337CA9"/>
    <w:sectPr w:rsidR="00337CA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addie Nath-Folsom" w:date="2025-08-28T09:42:00Z" w:initials="CN">
    <w:p w14:paraId="1A80D8C0" w14:textId="77777777" w:rsidR="00337CA9" w:rsidRDefault="00337CA9" w:rsidP="00337CA9">
      <w:pPr>
        <w:pStyle w:val="CommentText"/>
      </w:pPr>
      <w:r>
        <w:rPr>
          <w:rStyle w:val="CommentReference"/>
        </w:rPr>
        <w:annotationRef/>
      </w:r>
      <w:r>
        <w:t>Update city and court</w:t>
      </w:r>
    </w:p>
  </w:comment>
  <w:comment w:id="1" w:author="Caddie Nath-Folsom" w:date="2025-08-28T09:57:00Z" w:initials="CN">
    <w:p w14:paraId="77DB430A" w14:textId="77777777" w:rsidR="001F7616" w:rsidRDefault="00B055AA" w:rsidP="001F7616">
      <w:pPr>
        <w:pStyle w:val="CommentText"/>
      </w:pPr>
      <w:r>
        <w:rPr>
          <w:rStyle w:val="CommentReference"/>
        </w:rPr>
        <w:annotationRef/>
      </w:r>
      <w:r w:rsidR="001F7616">
        <w:t xml:space="preserve">Per the immigration court manual, filings should be organized in the following order: </w:t>
      </w:r>
    </w:p>
    <w:p w14:paraId="31A7C35B" w14:textId="77777777" w:rsidR="001F7616" w:rsidRDefault="001F7616" w:rsidP="001F7616">
      <w:pPr>
        <w:pStyle w:val="CommentText"/>
      </w:pPr>
    </w:p>
    <w:p w14:paraId="0BFE431E" w14:textId="77777777" w:rsidR="001F7616" w:rsidRDefault="001F7616" w:rsidP="001F7616">
      <w:pPr>
        <w:pStyle w:val="CommentText"/>
        <w:numPr>
          <w:ilvl w:val="0"/>
          <w:numId w:val="4"/>
        </w:numPr>
      </w:pPr>
      <w:r>
        <w:t>E-28 or E-61 (if required; if this document is already on file with the court, you are not required to submit it again with each new filing/motion)</w:t>
      </w:r>
    </w:p>
    <w:p w14:paraId="34618D32" w14:textId="77777777" w:rsidR="001F7616" w:rsidRDefault="001F7616" w:rsidP="001F7616">
      <w:pPr>
        <w:pStyle w:val="CommentText"/>
        <w:numPr>
          <w:ilvl w:val="0"/>
          <w:numId w:val="4"/>
        </w:numPr>
        <w:ind w:left="300"/>
      </w:pPr>
      <w:r>
        <w:t xml:space="preserve">Motion/Filing Cover Page </w:t>
      </w:r>
      <w:r>
        <w:br/>
        <w:t xml:space="preserve">3. Fee receipt showing electronic payment of any required fees (if applicable; most motions do not require a fee; most Immigration Court fees can be paid through the </w:t>
      </w:r>
      <w:hyperlink r:id="rId1" w:history="1">
        <w:r w:rsidRPr="00F70619">
          <w:rPr>
            <w:rStyle w:val="Hyperlink"/>
          </w:rPr>
          <w:t>EOIR payment portal</w:t>
        </w:r>
      </w:hyperlink>
      <w:r>
        <w:t>)</w:t>
      </w:r>
    </w:p>
    <w:p w14:paraId="1D7292F4" w14:textId="77777777" w:rsidR="001F7616" w:rsidRDefault="001F7616" w:rsidP="001F7616">
      <w:pPr>
        <w:pStyle w:val="CommentText"/>
        <w:numPr>
          <w:ilvl w:val="0"/>
          <w:numId w:val="4"/>
        </w:numPr>
      </w:pPr>
      <w:r>
        <w:t>The filing itself (e.g. the actual motion. Motions can be independently paginated)</w:t>
      </w:r>
    </w:p>
    <w:p w14:paraId="4F7C61AC" w14:textId="77777777" w:rsidR="001F7616" w:rsidRDefault="001F7616" w:rsidP="001F7616">
      <w:pPr>
        <w:pStyle w:val="CommentText"/>
        <w:numPr>
          <w:ilvl w:val="0"/>
          <w:numId w:val="4"/>
        </w:numPr>
      </w:pPr>
      <w:r>
        <w:t>This table of contents followed by the exhibits supporting the motion</w:t>
      </w:r>
    </w:p>
    <w:p w14:paraId="71BBE4D0" w14:textId="77777777" w:rsidR="001F7616" w:rsidRDefault="001F7616" w:rsidP="001F7616">
      <w:pPr>
        <w:pStyle w:val="CommentText"/>
        <w:numPr>
          <w:ilvl w:val="0"/>
          <w:numId w:val="4"/>
        </w:numPr>
      </w:pPr>
      <w:r>
        <w:t>Proposed order for the immigration judge (if the filing is a motion)</w:t>
      </w:r>
    </w:p>
    <w:p w14:paraId="5045FDE4" w14:textId="77777777" w:rsidR="001F7616" w:rsidRDefault="001F7616" w:rsidP="001F7616">
      <w:pPr>
        <w:pStyle w:val="CommentText"/>
        <w:numPr>
          <w:ilvl w:val="0"/>
          <w:numId w:val="4"/>
        </w:numPr>
      </w:pPr>
      <w:r>
        <w:t>Proof of service</w:t>
      </w:r>
    </w:p>
    <w:p w14:paraId="2829F742" w14:textId="77777777" w:rsidR="001F7616" w:rsidRDefault="001F7616" w:rsidP="001F7616">
      <w:pPr>
        <w:pStyle w:val="CommentText"/>
      </w:pPr>
    </w:p>
    <w:p w14:paraId="6CFF7A3D" w14:textId="77777777" w:rsidR="001F7616" w:rsidRDefault="001F7616" w:rsidP="001F7616">
      <w:pPr>
        <w:pStyle w:val="CommentText"/>
      </w:pPr>
    </w:p>
    <w:p w14:paraId="20015925" w14:textId="77777777" w:rsidR="001F7616" w:rsidRDefault="001F7616" w:rsidP="001F7616">
      <w:pPr>
        <w:pStyle w:val="CommentText"/>
      </w:pPr>
      <w:r>
        <w:t xml:space="preserve">The E-28, Cover page, fee receipt, and motion itself do not need to appear in the table of contents, although they can if you have paginated the filing continuously. Do not assign tab/exhibit letters to any of these documents. Only exhibits should be marked with letters. </w:t>
      </w:r>
    </w:p>
    <w:p w14:paraId="6EC591F7" w14:textId="77777777" w:rsidR="001F7616" w:rsidRDefault="001F7616" w:rsidP="001F7616">
      <w:pPr>
        <w:pStyle w:val="CommentText"/>
      </w:pPr>
    </w:p>
    <w:p w14:paraId="321A8387" w14:textId="77777777" w:rsidR="001F7616" w:rsidRDefault="001F7616" w:rsidP="001F7616">
      <w:pPr>
        <w:pStyle w:val="CommentText"/>
      </w:pPr>
      <w:r>
        <w:t xml:space="preserve">The proposed order and proof of service should be included after the exhibits and should be included in the table of contents. </w:t>
      </w:r>
    </w:p>
  </w:comment>
  <w:comment w:id="2" w:author="Caddie Nath-Folsom" w:date="2025-08-28T09:45:00Z" w:initials="CN">
    <w:p w14:paraId="0F741DAA" w14:textId="6D586E3A" w:rsidR="00337CA9" w:rsidRDefault="00337CA9" w:rsidP="00337CA9">
      <w:pPr>
        <w:pStyle w:val="CommentText"/>
      </w:pPr>
      <w:r>
        <w:rPr>
          <w:rStyle w:val="CommentReference"/>
        </w:rPr>
        <w:annotationRef/>
      </w:r>
      <w:r>
        <w:t xml:space="preserve">In paper filings, exhibits should be marked with letter tabs that protrude from the package on the right side of the page. </w:t>
      </w:r>
    </w:p>
    <w:p w14:paraId="74A2C597" w14:textId="77777777" w:rsidR="00337CA9" w:rsidRDefault="00337CA9" w:rsidP="00337CA9">
      <w:pPr>
        <w:pStyle w:val="CommentText"/>
      </w:pPr>
    </w:p>
    <w:p w14:paraId="66C05EDA" w14:textId="77777777" w:rsidR="00337CA9" w:rsidRDefault="00337CA9" w:rsidP="00337CA9">
      <w:pPr>
        <w:pStyle w:val="CommentText"/>
      </w:pPr>
      <w:r>
        <w:t xml:space="preserve">In ECAS filings, exhibits should be marked with divider pages, which can be a blank page with the words “Exhibit A” or “Tab A” appearing in bold in the center of the page. </w:t>
      </w:r>
    </w:p>
  </w:comment>
  <w:comment w:id="3" w:author="Caddie Nath-Folsom" w:date="2025-08-28T09:48:00Z" w:initials="CN">
    <w:p w14:paraId="461200F3" w14:textId="77777777" w:rsidR="00337CA9" w:rsidRDefault="00337CA9" w:rsidP="00337CA9">
      <w:pPr>
        <w:pStyle w:val="CommentText"/>
      </w:pPr>
      <w:r>
        <w:rPr>
          <w:rStyle w:val="CommentReference"/>
        </w:rPr>
        <w:annotationRef/>
      </w:r>
      <w:r>
        <w:t xml:space="preserve">In both electronic and paper filings, exhibits must be page numbered. When paginating, skip divider pages. </w:t>
      </w:r>
    </w:p>
  </w:comment>
  <w:comment w:id="4" w:author="Caddie Nath-Folsom" w:date="2025-08-28T09:50:00Z" w:initials="CN">
    <w:p w14:paraId="02F223CD" w14:textId="77777777" w:rsidR="00337CA9" w:rsidRDefault="00337CA9" w:rsidP="00337CA9">
      <w:pPr>
        <w:pStyle w:val="CommentText"/>
      </w:pPr>
      <w:r>
        <w:rPr>
          <w:rStyle w:val="CommentReference"/>
        </w:rPr>
        <w:annotationRef/>
      </w:r>
      <w:r>
        <w:t xml:space="preserve">A signed proof of service must be included with every filing. Per the </w:t>
      </w:r>
      <w:hyperlink r:id="rId2" w:history="1">
        <w:r w:rsidRPr="004124D0">
          <w:rPr>
            <w:rStyle w:val="Hyperlink"/>
          </w:rPr>
          <w:t>Immigration Court manual</w:t>
        </w:r>
      </w:hyperlink>
      <w:r>
        <w:t>, the proof of service must be included last, behind the exhibits, but it is not itself an exhibit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A80D8C0" w15:done="0"/>
  <w15:commentEx w15:paraId="321A8387" w15:done="0"/>
  <w15:commentEx w15:paraId="66C05EDA" w15:done="0"/>
  <w15:commentEx w15:paraId="461200F3" w15:done="0"/>
  <w15:commentEx w15:paraId="02F223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7AC0E0" w16cex:dateUtc="2025-08-28T13:42:00Z"/>
  <w16cex:commentExtensible w16cex:durableId="4A216FBC" w16cex:dateUtc="2025-08-28T13:57:00Z"/>
  <w16cex:commentExtensible w16cex:durableId="01D97C4A" w16cex:dateUtc="2025-08-28T13:45:00Z"/>
  <w16cex:commentExtensible w16cex:durableId="6A06AF17" w16cex:dateUtc="2025-08-28T13:48:00Z"/>
  <w16cex:commentExtensible w16cex:durableId="258CEACB" w16cex:dateUtc="2025-08-28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A80D8C0" w16cid:durableId="3B7AC0E0"/>
  <w16cid:commentId w16cid:paraId="321A8387" w16cid:durableId="4A216FBC"/>
  <w16cid:commentId w16cid:paraId="66C05EDA" w16cid:durableId="01D97C4A"/>
  <w16cid:commentId w16cid:paraId="461200F3" w16cid:durableId="6A06AF17"/>
  <w16cid:commentId w16cid:paraId="02F223CD" w16cid:durableId="258CEAC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_∫¬'94">
    <w:altName w:val="Calibri"/>
    <w:charset w:val="4D"/>
    <w:family w:val="auto"/>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4305"/>
    <w:multiLevelType w:val="hybridMultilevel"/>
    <w:tmpl w:val="8ED87564"/>
    <w:lvl w:ilvl="0" w:tplc="EB3AB946">
      <w:start w:val="1"/>
      <w:numFmt w:val="decimal"/>
      <w:lvlText w:val="%1."/>
      <w:lvlJc w:val="left"/>
      <w:pPr>
        <w:ind w:left="1020" w:hanging="360"/>
      </w:pPr>
    </w:lvl>
    <w:lvl w:ilvl="1" w:tplc="62827400">
      <w:start w:val="1"/>
      <w:numFmt w:val="decimal"/>
      <w:lvlText w:val="%2."/>
      <w:lvlJc w:val="left"/>
      <w:pPr>
        <w:ind w:left="1020" w:hanging="360"/>
      </w:pPr>
    </w:lvl>
    <w:lvl w:ilvl="2" w:tplc="A58202FC">
      <w:start w:val="1"/>
      <w:numFmt w:val="decimal"/>
      <w:lvlText w:val="%3."/>
      <w:lvlJc w:val="left"/>
      <w:pPr>
        <w:ind w:left="1020" w:hanging="360"/>
      </w:pPr>
    </w:lvl>
    <w:lvl w:ilvl="3" w:tplc="BDC0F14A">
      <w:start w:val="1"/>
      <w:numFmt w:val="decimal"/>
      <w:lvlText w:val="%4."/>
      <w:lvlJc w:val="left"/>
      <w:pPr>
        <w:ind w:left="1020" w:hanging="360"/>
      </w:pPr>
    </w:lvl>
    <w:lvl w:ilvl="4" w:tplc="6E2608FA">
      <w:start w:val="1"/>
      <w:numFmt w:val="decimal"/>
      <w:lvlText w:val="%5."/>
      <w:lvlJc w:val="left"/>
      <w:pPr>
        <w:ind w:left="1020" w:hanging="360"/>
      </w:pPr>
    </w:lvl>
    <w:lvl w:ilvl="5" w:tplc="BCA4539A">
      <w:start w:val="1"/>
      <w:numFmt w:val="decimal"/>
      <w:lvlText w:val="%6."/>
      <w:lvlJc w:val="left"/>
      <w:pPr>
        <w:ind w:left="1020" w:hanging="360"/>
      </w:pPr>
    </w:lvl>
    <w:lvl w:ilvl="6" w:tplc="8E8E5D58">
      <w:start w:val="1"/>
      <w:numFmt w:val="decimal"/>
      <w:lvlText w:val="%7."/>
      <w:lvlJc w:val="left"/>
      <w:pPr>
        <w:ind w:left="1020" w:hanging="360"/>
      </w:pPr>
    </w:lvl>
    <w:lvl w:ilvl="7" w:tplc="68585F36">
      <w:start w:val="1"/>
      <w:numFmt w:val="decimal"/>
      <w:lvlText w:val="%8."/>
      <w:lvlJc w:val="left"/>
      <w:pPr>
        <w:ind w:left="1020" w:hanging="360"/>
      </w:pPr>
    </w:lvl>
    <w:lvl w:ilvl="8" w:tplc="12C0A1FE">
      <w:start w:val="1"/>
      <w:numFmt w:val="decimal"/>
      <w:lvlText w:val="%9."/>
      <w:lvlJc w:val="left"/>
      <w:pPr>
        <w:ind w:left="1020" w:hanging="360"/>
      </w:pPr>
    </w:lvl>
  </w:abstractNum>
  <w:abstractNum w:abstractNumId="1" w15:restartNumberingAfterBreak="0">
    <w:nsid w:val="177A6726"/>
    <w:multiLevelType w:val="hybridMultilevel"/>
    <w:tmpl w:val="D2208D9C"/>
    <w:lvl w:ilvl="0" w:tplc="1DDA89F8">
      <w:start w:val="1"/>
      <w:numFmt w:val="decimal"/>
      <w:lvlText w:val="%1."/>
      <w:lvlJc w:val="left"/>
      <w:pPr>
        <w:ind w:left="1020" w:hanging="360"/>
      </w:pPr>
    </w:lvl>
    <w:lvl w:ilvl="1" w:tplc="892A8408">
      <w:start w:val="1"/>
      <w:numFmt w:val="decimal"/>
      <w:lvlText w:val="%2."/>
      <w:lvlJc w:val="left"/>
      <w:pPr>
        <w:ind w:left="1020" w:hanging="360"/>
      </w:pPr>
    </w:lvl>
    <w:lvl w:ilvl="2" w:tplc="B46ACA70">
      <w:start w:val="1"/>
      <w:numFmt w:val="decimal"/>
      <w:lvlText w:val="%3."/>
      <w:lvlJc w:val="left"/>
      <w:pPr>
        <w:ind w:left="1020" w:hanging="360"/>
      </w:pPr>
    </w:lvl>
    <w:lvl w:ilvl="3" w:tplc="A7DC1462">
      <w:start w:val="1"/>
      <w:numFmt w:val="decimal"/>
      <w:lvlText w:val="%4."/>
      <w:lvlJc w:val="left"/>
      <w:pPr>
        <w:ind w:left="1020" w:hanging="360"/>
      </w:pPr>
    </w:lvl>
    <w:lvl w:ilvl="4" w:tplc="351032D2">
      <w:start w:val="1"/>
      <w:numFmt w:val="decimal"/>
      <w:lvlText w:val="%5."/>
      <w:lvlJc w:val="left"/>
      <w:pPr>
        <w:ind w:left="1020" w:hanging="360"/>
      </w:pPr>
    </w:lvl>
    <w:lvl w:ilvl="5" w:tplc="2B7C8302">
      <w:start w:val="1"/>
      <w:numFmt w:val="decimal"/>
      <w:lvlText w:val="%6."/>
      <w:lvlJc w:val="left"/>
      <w:pPr>
        <w:ind w:left="1020" w:hanging="360"/>
      </w:pPr>
    </w:lvl>
    <w:lvl w:ilvl="6" w:tplc="6F8CCC42">
      <w:start w:val="1"/>
      <w:numFmt w:val="decimal"/>
      <w:lvlText w:val="%7."/>
      <w:lvlJc w:val="left"/>
      <w:pPr>
        <w:ind w:left="1020" w:hanging="360"/>
      </w:pPr>
    </w:lvl>
    <w:lvl w:ilvl="7" w:tplc="78804056">
      <w:start w:val="1"/>
      <w:numFmt w:val="decimal"/>
      <w:lvlText w:val="%8."/>
      <w:lvlJc w:val="left"/>
      <w:pPr>
        <w:ind w:left="1020" w:hanging="360"/>
      </w:pPr>
    </w:lvl>
    <w:lvl w:ilvl="8" w:tplc="A072DF44">
      <w:start w:val="1"/>
      <w:numFmt w:val="decimal"/>
      <w:lvlText w:val="%9."/>
      <w:lvlJc w:val="left"/>
      <w:pPr>
        <w:ind w:left="1020" w:hanging="360"/>
      </w:pPr>
    </w:lvl>
  </w:abstractNum>
  <w:abstractNum w:abstractNumId="2" w15:restartNumberingAfterBreak="0">
    <w:nsid w:val="1B24698A"/>
    <w:multiLevelType w:val="hybridMultilevel"/>
    <w:tmpl w:val="54B4DFB6"/>
    <w:lvl w:ilvl="0" w:tplc="E7B800EE">
      <w:start w:val="1"/>
      <w:numFmt w:val="decimal"/>
      <w:lvlText w:val="%1."/>
      <w:lvlJc w:val="left"/>
      <w:pPr>
        <w:ind w:left="1020" w:hanging="360"/>
      </w:pPr>
    </w:lvl>
    <w:lvl w:ilvl="1" w:tplc="2AD21596">
      <w:start w:val="1"/>
      <w:numFmt w:val="decimal"/>
      <w:lvlText w:val="%2."/>
      <w:lvlJc w:val="left"/>
      <w:pPr>
        <w:ind w:left="1020" w:hanging="360"/>
      </w:pPr>
    </w:lvl>
    <w:lvl w:ilvl="2" w:tplc="6038A00A">
      <w:start w:val="1"/>
      <w:numFmt w:val="decimal"/>
      <w:lvlText w:val="%3."/>
      <w:lvlJc w:val="left"/>
      <w:pPr>
        <w:ind w:left="1020" w:hanging="360"/>
      </w:pPr>
    </w:lvl>
    <w:lvl w:ilvl="3" w:tplc="108879C8">
      <w:start w:val="1"/>
      <w:numFmt w:val="decimal"/>
      <w:lvlText w:val="%4."/>
      <w:lvlJc w:val="left"/>
      <w:pPr>
        <w:ind w:left="1020" w:hanging="360"/>
      </w:pPr>
    </w:lvl>
    <w:lvl w:ilvl="4" w:tplc="5770BE02">
      <w:start w:val="1"/>
      <w:numFmt w:val="decimal"/>
      <w:lvlText w:val="%5."/>
      <w:lvlJc w:val="left"/>
      <w:pPr>
        <w:ind w:left="1020" w:hanging="360"/>
      </w:pPr>
    </w:lvl>
    <w:lvl w:ilvl="5" w:tplc="02BC1ECC">
      <w:start w:val="1"/>
      <w:numFmt w:val="decimal"/>
      <w:lvlText w:val="%6."/>
      <w:lvlJc w:val="left"/>
      <w:pPr>
        <w:ind w:left="1020" w:hanging="360"/>
      </w:pPr>
    </w:lvl>
    <w:lvl w:ilvl="6" w:tplc="B8064B78">
      <w:start w:val="1"/>
      <w:numFmt w:val="decimal"/>
      <w:lvlText w:val="%7."/>
      <w:lvlJc w:val="left"/>
      <w:pPr>
        <w:ind w:left="1020" w:hanging="360"/>
      </w:pPr>
    </w:lvl>
    <w:lvl w:ilvl="7" w:tplc="9E70BE0A">
      <w:start w:val="1"/>
      <w:numFmt w:val="decimal"/>
      <w:lvlText w:val="%8."/>
      <w:lvlJc w:val="left"/>
      <w:pPr>
        <w:ind w:left="1020" w:hanging="360"/>
      </w:pPr>
    </w:lvl>
    <w:lvl w:ilvl="8" w:tplc="0A9084E4">
      <w:start w:val="1"/>
      <w:numFmt w:val="decimal"/>
      <w:lvlText w:val="%9."/>
      <w:lvlJc w:val="left"/>
      <w:pPr>
        <w:ind w:left="1020" w:hanging="360"/>
      </w:pPr>
    </w:lvl>
  </w:abstractNum>
  <w:abstractNum w:abstractNumId="3" w15:restartNumberingAfterBreak="0">
    <w:nsid w:val="306840D4"/>
    <w:multiLevelType w:val="hybridMultilevel"/>
    <w:tmpl w:val="88884ACE"/>
    <w:lvl w:ilvl="0" w:tplc="39B64B86">
      <w:start w:val="1"/>
      <w:numFmt w:val="decimal"/>
      <w:lvlText w:val="%1."/>
      <w:lvlJc w:val="left"/>
      <w:pPr>
        <w:ind w:left="1020" w:hanging="360"/>
      </w:pPr>
    </w:lvl>
    <w:lvl w:ilvl="1" w:tplc="AB767B2C">
      <w:start w:val="1"/>
      <w:numFmt w:val="decimal"/>
      <w:lvlText w:val="%2."/>
      <w:lvlJc w:val="left"/>
      <w:pPr>
        <w:ind w:left="1020" w:hanging="360"/>
      </w:pPr>
    </w:lvl>
    <w:lvl w:ilvl="2" w:tplc="E9AADF9C">
      <w:start w:val="1"/>
      <w:numFmt w:val="decimal"/>
      <w:lvlText w:val="%3."/>
      <w:lvlJc w:val="left"/>
      <w:pPr>
        <w:ind w:left="1020" w:hanging="360"/>
      </w:pPr>
    </w:lvl>
    <w:lvl w:ilvl="3" w:tplc="152EF810">
      <w:start w:val="1"/>
      <w:numFmt w:val="decimal"/>
      <w:lvlText w:val="%4."/>
      <w:lvlJc w:val="left"/>
      <w:pPr>
        <w:ind w:left="1020" w:hanging="360"/>
      </w:pPr>
    </w:lvl>
    <w:lvl w:ilvl="4" w:tplc="486A5F04">
      <w:start w:val="1"/>
      <w:numFmt w:val="decimal"/>
      <w:lvlText w:val="%5."/>
      <w:lvlJc w:val="left"/>
      <w:pPr>
        <w:ind w:left="1020" w:hanging="360"/>
      </w:pPr>
    </w:lvl>
    <w:lvl w:ilvl="5" w:tplc="92A427DE">
      <w:start w:val="1"/>
      <w:numFmt w:val="decimal"/>
      <w:lvlText w:val="%6."/>
      <w:lvlJc w:val="left"/>
      <w:pPr>
        <w:ind w:left="1020" w:hanging="360"/>
      </w:pPr>
    </w:lvl>
    <w:lvl w:ilvl="6" w:tplc="CC709AAA">
      <w:start w:val="1"/>
      <w:numFmt w:val="decimal"/>
      <w:lvlText w:val="%7."/>
      <w:lvlJc w:val="left"/>
      <w:pPr>
        <w:ind w:left="1020" w:hanging="360"/>
      </w:pPr>
    </w:lvl>
    <w:lvl w:ilvl="7" w:tplc="139494C4">
      <w:start w:val="1"/>
      <w:numFmt w:val="decimal"/>
      <w:lvlText w:val="%8."/>
      <w:lvlJc w:val="left"/>
      <w:pPr>
        <w:ind w:left="1020" w:hanging="360"/>
      </w:pPr>
    </w:lvl>
    <w:lvl w:ilvl="8" w:tplc="A510FD98">
      <w:start w:val="1"/>
      <w:numFmt w:val="decimal"/>
      <w:lvlText w:val="%9."/>
      <w:lvlJc w:val="left"/>
      <w:pPr>
        <w:ind w:left="1020" w:hanging="360"/>
      </w:pPr>
    </w:lvl>
  </w:abstractNum>
  <w:num w:numId="1" w16cid:durableId="1997958000">
    <w:abstractNumId w:val="1"/>
  </w:num>
  <w:num w:numId="2" w16cid:durableId="734739019">
    <w:abstractNumId w:val="3"/>
  </w:num>
  <w:num w:numId="3" w16cid:durableId="1127162329">
    <w:abstractNumId w:val="2"/>
  </w:num>
  <w:num w:numId="4" w16cid:durableId="29094437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ddie Nath-Folsom">
    <w15:presenceInfo w15:providerId="AD" w15:userId="S::NathC@humanrightsfirst.org::f0fd198c-d22a-4b47-9004-af5d0ff9f0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A9"/>
    <w:rsid w:val="00002104"/>
    <w:rsid w:val="00042C18"/>
    <w:rsid w:val="00080929"/>
    <w:rsid w:val="000C64F2"/>
    <w:rsid w:val="000F7F96"/>
    <w:rsid w:val="00137128"/>
    <w:rsid w:val="00140C45"/>
    <w:rsid w:val="00146F4A"/>
    <w:rsid w:val="001F4AE0"/>
    <w:rsid w:val="001F7616"/>
    <w:rsid w:val="00222AE6"/>
    <w:rsid w:val="00250AF8"/>
    <w:rsid w:val="00254BC2"/>
    <w:rsid w:val="00263EF4"/>
    <w:rsid w:val="00293D0F"/>
    <w:rsid w:val="002A07C3"/>
    <w:rsid w:val="002A3783"/>
    <w:rsid w:val="0033235A"/>
    <w:rsid w:val="00337CA9"/>
    <w:rsid w:val="00381560"/>
    <w:rsid w:val="00390B81"/>
    <w:rsid w:val="003F0FA2"/>
    <w:rsid w:val="004202E4"/>
    <w:rsid w:val="00442E69"/>
    <w:rsid w:val="00463DF1"/>
    <w:rsid w:val="004E3F5A"/>
    <w:rsid w:val="004F28DF"/>
    <w:rsid w:val="004F3A6D"/>
    <w:rsid w:val="005028B2"/>
    <w:rsid w:val="00502F22"/>
    <w:rsid w:val="00516736"/>
    <w:rsid w:val="00517B50"/>
    <w:rsid w:val="0054152A"/>
    <w:rsid w:val="005845A5"/>
    <w:rsid w:val="005865C3"/>
    <w:rsid w:val="005A182A"/>
    <w:rsid w:val="005C4D02"/>
    <w:rsid w:val="005F371F"/>
    <w:rsid w:val="00612F80"/>
    <w:rsid w:val="00616D30"/>
    <w:rsid w:val="00664144"/>
    <w:rsid w:val="0066750E"/>
    <w:rsid w:val="006C60E5"/>
    <w:rsid w:val="006F3DFE"/>
    <w:rsid w:val="006F4E41"/>
    <w:rsid w:val="006F4F09"/>
    <w:rsid w:val="00712C85"/>
    <w:rsid w:val="007152F4"/>
    <w:rsid w:val="0073663A"/>
    <w:rsid w:val="00750EAA"/>
    <w:rsid w:val="00751084"/>
    <w:rsid w:val="007619DD"/>
    <w:rsid w:val="00786762"/>
    <w:rsid w:val="007B1152"/>
    <w:rsid w:val="00805996"/>
    <w:rsid w:val="00847D9C"/>
    <w:rsid w:val="0087031E"/>
    <w:rsid w:val="00871950"/>
    <w:rsid w:val="008E1F59"/>
    <w:rsid w:val="009048F1"/>
    <w:rsid w:val="00931D04"/>
    <w:rsid w:val="009467AF"/>
    <w:rsid w:val="009500DA"/>
    <w:rsid w:val="009504A8"/>
    <w:rsid w:val="009916CC"/>
    <w:rsid w:val="009A0780"/>
    <w:rsid w:val="009A2449"/>
    <w:rsid w:val="009D484B"/>
    <w:rsid w:val="009E3536"/>
    <w:rsid w:val="009E5CE8"/>
    <w:rsid w:val="00A00847"/>
    <w:rsid w:val="00A13FB0"/>
    <w:rsid w:val="00A245C6"/>
    <w:rsid w:val="00A7247D"/>
    <w:rsid w:val="00A76674"/>
    <w:rsid w:val="00A87370"/>
    <w:rsid w:val="00A9153A"/>
    <w:rsid w:val="00AB02BD"/>
    <w:rsid w:val="00AD46A4"/>
    <w:rsid w:val="00AE3194"/>
    <w:rsid w:val="00AF11A4"/>
    <w:rsid w:val="00B055AA"/>
    <w:rsid w:val="00B632FF"/>
    <w:rsid w:val="00B77472"/>
    <w:rsid w:val="00B970AB"/>
    <w:rsid w:val="00BB329D"/>
    <w:rsid w:val="00BB595E"/>
    <w:rsid w:val="00BD4CF1"/>
    <w:rsid w:val="00C25ADA"/>
    <w:rsid w:val="00C92787"/>
    <w:rsid w:val="00CD1E7C"/>
    <w:rsid w:val="00CF6E90"/>
    <w:rsid w:val="00D14197"/>
    <w:rsid w:val="00D367B7"/>
    <w:rsid w:val="00D421B8"/>
    <w:rsid w:val="00D82EAB"/>
    <w:rsid w:val="00D8495C"/>
    <w:rsid w:val="00DA0C6F"/>
    <w:rsid w:val="00DD3208"/>
    <w:rsid w:val="00E07D46"/>
    <w:rsid w:val="00E55B0C"/>
    <w:rsid w:val="00E72E90"/>
    <w:rsid w:val="00E85CAD"/>
    <w:rsid w:val="00E92712"/>
    <w:rsid w:val="00E942F6"/>
    <w:rsid w:val="00ED65E2"/>
    <w:rsid w:val="00ED7946"/>
    <w:rsid w:val="00EE3149"/>
    <w:rsid w:val="00EF432B"/>
    <w:rsid w:val="00EF55A2"/>
    <w:rsid w:val="00F01EB8"/>
    <w:rsid w:val="00F10D92"/>
    <w:rsid w:val="00F4326C"/>
    <w:rsid w:val="00F54C59"/>
    <w:rsid w:val="00FB0201"/>
    <w:rsid w:val="00FB3CDA"/>
    <w:rsid w:val="00FC0566"/>
    <w:rsid w:val="00FC15D3"/>
    <w:rsid w:val="00FC27EC"/>
    <w:rsid w:val="00FE7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748E8"/>
  <w15:chartTrackingRefBased/>
  <w15:docId w15:val="{7B4963D5-7F17-42E9-96CF-0DD153B92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CA9"/>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37CA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37CA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37CA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37CA9"/>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37CA9"/>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37CA9"/>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37CA9"/>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37CA9"/>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37CA9"/>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C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7C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7C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7C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7C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7C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7C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7C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7CA9"/>
    <w:rPr>
      <w:rFonts w:eastAsiaTheme="majorEastAsia" w:cstheme="majorBidi"/>
      <w:color w:val="272727" w:themeColor="text1" w:themeTint="D8"/>
    </w:rPr>
  </w:style>
  <w:style w:type="paragraph" w:styleId="Title">
    <w:name w:val="Title"/>
    <w:basedOn w:val="Normal"/>
    <w:next w:val="Normal"/>
    <w:link w:val="TitleChar"/>
    <w:uiPriority w:val="10"/>
    <w:qFormat/>
    <w:rsid w:val="00337CA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37C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7CA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37C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7CA9"/>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337CA9"/>
    <w:rPr>
      <w:i/>
      <w:iCs/>
      <w:color w:val="404040" w:themeColor="text1" w:themeTint="BF"/>
    </w:rPr>
  </w:style>
  <w:style w:type="paragraph" w:styleId="ListParagraph">
    <w:name w:val="List Paragraph"/>
    <w:basedOn w:val="Normal"/>
    <w:uiPriority w:val="34"/>
    <w:qFormat/>
    <w:rsid w:val="00337CA9"/>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337CA9"/>
    <w:rPr>
      <w:i/>
      <w:iCs/>
      <w:color w:val="0F4761" w:themeColor="accent1" w:themeShade="BF"/>
    </w:rPr>
  </w:style>
  <w:style w:type="paragraph" w:styleId="IntenseQuote">
    <w:name w:val="Intense Quote"/>
    <w:basedOn w:val="Normal"/>
    <w:next w:val="Normal"/>
    <w:link w:val="IntenseQuoteChar"/>
    <w:uiPriority w:val="30"/>
    <w:qFormat/>
    <w:rsid w:val="00337CA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37CA9"/>
    <w:rPr>
      <w:i/>
      <w:iCs/>
      <w:color w:val="0F4761" w:themeColor="accent1" w:themeShade="BF"/>
    </w:rPr>
  </w:style>
  <w:style w:type="character" w:styleId="IntenseReference">
    <w:name w:val="Intense Reference"/>
    <w:basedOn w:val="DefaultParagraphFont"/>
    <w:uiPriority w:val="32"/>
    <w:qFormat/>
    <w:rsid w:val="00337CA9"/>
    <w:rPr>
      <w:b/>
      <w:bCs/>
      <w:smallCaps/>
      <w:color w:val="0F4761" w:themeColor="accent1" w:themeShade="BF"/>
      <w:spacing w:val="5"/>
    </w:rPr>
  </w:style>
  <w:style w:type="table" w:styleId="TableGrid">
    <w:name w:val="Table Grid"/>
    <w:basedOn w:val="TableNormal"/>
    <w:uiPriority w:val="39"/>
    <w:rsid w:val="00337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37CA9"/>
    <w:rPr>
      <w:sz w:val="16"/>
      <w:szCs w:val="16"/>
    </w:rPr>
  </w:style>
  <w:style w:type="paragraph" w:styleId="CommentText">
    <w:name w:val="annotation text"/>
    <w:basedOn w:val="Normal"/>
    <w:link w:val="CommentTextChar"/>
    <w:uiPriority w:val="99"/>
    <w:unhideWhenUsed/>
    <w:rsid w:val="00337CA9"/>
    <w:rPr>
      <w:sz w:val="20"/>
      <w:szCs w:val="20"/>
    </w:rPr>
  </w:style>
  <w:style w:type="character" w:customStyle="1" w:styleId="CommentTextChar">
    <w:name w:val="Comment Text Char"/>
    <w:basedOn w:val="DefaultParagraphFont"/>
    <w:link w:val="CommentText"/>
    <w:uiPriority w:val="99"/>
    <w:rsid w:val="00337CA9"/>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37CA9"/>
    <w:rPr>
      <w:b/>
      <w:bCs/>
    </w:rPr>
  </w:style>
  <w:style w:type="character" w:customStyle="1" w:styleId="CommentSubjectChar">
    <w:name w:val="Comment Subject Char"/>
    <w:basedOn w:val="CommentTextChar"/>
    <w:link w:val="CommentSubject"/>
    <w:uiPriority w:val="99"/>
    <w:semiHidden/>
    <w:rsid w:val="00337CA9"/>
    <w:rPr>
      <w:rFonts w:ascii="Times New Roman" w:eastAsia="Times New Roman" w:hAnsi="Times New Roman" w:cs="Times New Roman"/>
      <w:b/>
      <w:bCs/>
      <w:kern w:val="0"/>
      <w:sz w:val="20"/>
      <w:szCs w:val="20"/>
      <w14:ligatures w14:val="none"/>
    </w:rPr>
  </w:style>
  <w:style w:type="character" w:styleId="Hyperlink">
    <w:name w:val="Hyperlink"/>
    <w:basedOn w:val="DefaultParagraphFont"/>
    <w:uiPriority w:val="99"/>
    <w:unhideWhenUsed/>
    <w:rsid w:val="00337CA9"/>
    <w:rPr>
      <w:color w:val="467886" w:themeColor="hyperlink"/>
      <w:u w:val="single"/>
    </w:rPr>
  </w:style>
  <w:style w:type="character" w:styleId="UnresolvedMention">
    <w:name w:val="Unresolved Mention"/>
    <w:basedOn w:val="DefaultParagraphFont"/>
    <w:uiPriority w:val="99"/>
    <w:semiHidden/>
    <w:unhideWhenUsed/>
    <w:rsid w:val="00337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justice.gov/eoir/reference-materials/ic/chapter-3/3" TargetMode="External"/><Relationship Id="rId1" Type="http://schemas.openxmlformats.org/officeDocument/2006/relationships/hyperlink" Target="https://epay.eoir.justice.gov/index"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68</Words>
  <Characters>393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Caddie Nath-Folsom</dc:creator>
  <cp:keywords/>
  <dc:description/>
  <cp:lastModifiedBy>Caddie Nath-Folsom</cp:lastModifiedBy>
  <cp:revision>1</cp:revision>
  <dcterms:created xsi:type="dcterms:W3CDTF">2025-08-28T13:38:00Z</dcterms:created>
  <dcterms:modified xsi:type="dcterms:W3CDTF">2025-08-28T14:02:00Z</dcterms:modified>
</cp:coreProperties>
</file>